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7A6BAA9F" w:rsidR="00006A2B" w:rsidRDefault="002E104E" w:rsidP="00FF7951">
      <w:pPr>
        <w:pStyle w:val="3GPPHeader"/>
        <w:spacing w:after="0"/>
        <w:jc w:val="left"/>
      </w:pPr>
      <w:r w:rsidRPr="00503262">
        <w:t>3GPP TSG</w:t>
      </w:r>
      <w:r w:rsidRPr="00503262">
        <w:rPr>
          <w:rFonts w:eastAsia="맑은 고딕" w:hint="eastAsia"/>
          <w:lang w:eastAsia="ko-KR"/>
        </w:rPr>
        <w:t xml:space="preserve"> </w:t>
      </w:r>
      <w:r w:rsidRPr="00503262">
        <w:t>RAN</w:t>
      </w:r>
      <w:r w:rsidRPr="00503262">
        <w:rPr>
          <w:rFonts w:eastAsia="맑은 고딕" w:hint="eastAsia"/>
          <w:lang w:eastAsia="ko-KR"/>
        </w:rPr>
        <w:t xml:space="preserve"> WG</w:t>
      </w:r>
      <w:r w:rsidRPr="00503262">
        <w:t>2</w:t>
      </w:r>
      <w:r w:rsidRPr="00503262">
        <w:rPr>
          <w:rFonts w:eastAsia="맑은 고딕" w:hint="eastAsia"/>
          <w:lang w:eastAsia="ko-KR"/>
        </w:rPr>
        <w:t xml:space="preserve"> Meeting </w:t>
      </w:r>
      <w:r w:rsidR="00BC70B1" w:rsidRPr="00503262">
        <w:rPr>
          <w:rFonts w:eastAsia="맑은 고딕" w:hint="eastAsia"/>
          <w:lang w:eastAsia="ko-KR"/>
        </w:rPr>
        <w:t>#11</w:t>
      </w:r>
      <w:r w:rsidR="00A22D35" w:rsidRPr="00503262">
        <w:rPr>
          <w:rFonts w:eastAsia="맑은 고딕"/>
          <w:lang w:eastAsia="ko-KR"/>
        </w:rPr>
        <w:t>6</w:t>
      </w:r>
      <w:r w:rsidR="00382A7C" w:rsidRPr="00503262">
        <w:rPr>
          <w:rFonts w:eastAsia="맑은 고딕"/>
          <w:lang w:eastAsia="ko-KR"/>
        </w:rPr>
        <w:t xml:space="preserve">-e      </w:t>
      </w:r>
      <w:r w:rsidRPr="00503262">
        <w:rPr>
          <w:rFonts w:eastAsia="맑은 고딕" w:hint="eastAsia"/>
          <w:lang w:eastAsia="ko-KR"/>
        </w:rPr>
        <w:t xml:space="preserve">     </w:t>
      </w:r>
      <w:r w:rsidRPr="00503262">
        <w:rPr>
          <w:rFonts w:eastAsia="맑은 고딕"/>
          <w:lang w:eastAsia="ko-KR"/>
        </w:rPr>
        <w:t xml:space="preserve">                                         </w:t>
      </w:r>
      <w:r w:rsidRPr="00503262">
        <w:rPr>
          <w:rFonts w:eastAsia="맑은 고딕" w:hint="eastAsia"/>
          <w:lang w:eastAsia="ko-KR"/>
        </w:rPr>
        <w:t xml:space="preserve">    </w:t>
      </w:r>
      <w:r w:rsidR="00366D4E" w:rsidRPr="00503262">
        <w:rPr>
          <w:rFonts w:eastAsia="맑은 고딕"/>
          <w:lang w:eastAsia="ko-KR"/>
        </w:rPr>
        <w:t xml:space="preserve">   </w:t>
      </w:r>
      <w:r w:rsidR="00DA5337" w:rsidRPr="00503262">
        <w:t>R2-2</w:t>
      </w:r>
      <w:r w:rsidR="00006A2B" w:rsidRPr="00503262">
        <w:t>1</w:t>
      </w:r>
      <w:r w:rsidR="00503262" w:rsidRPr="00503262">
        <w:t>10496</w:t>
      </w:r>
    </w:p>
    <w:p w14:paraId="1C336DD0" w14:textId="0AA86493"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AC5906">
        <w:rPr>
          <w:rFonts w:eastAsia="맑은 고딕"/>
          <w:lang w:eastAsia="ko-KR"/>
        </w:rPr>
        <w:t>1st</w:t>
      </w:r>
      <w:r w:rsidR="00006A2B">
        <w:rPr>
          <w:rFonts w:eastAsia="맑은 고딕"/>
          <w:lang w:eastAsia="ko-KR"/>
        </w:rPr>
        <w:t xml:space="preserve"> </w:t>
      </w:r>
      <w:r w:rsidRPr="00D22C9A">
        <w:rPr>
          <w:rFonts w:eastAsia="맑은 고딕"/>
          <w:lang w:eastAsia="ko-KR"/>
        </w:rPr>
        <w:t xml:space="preserve">– </w:t>
      </w:r>
      <w:r w:rsidR="00AC5906">
        <w:rPr>
          <w:rFonts w:eastAsia="맑은 고딕"/>
          <w:lang w:eastAsia="ko-KR"/>
        </w:rPr>
        <w:t>12</w:t>
      </w:r>
      <w:r w:rsidR="00006A2B">
        <w:rPr>
          <w:rFonts w:eastAsia="맑은 고딕"/>
          <w:lang w:eastAsia="ko-KR"/>
        </w:rPr>
        <w:t xml:space="preserve">th </w:t>
      </w:r>
      <w:r w:rsidR="00AC5906">
        <w:rPr>
          <w:rFonts w:eastAsia="맑은 고딕"/>
          <w:lang w:eastAsia="ko-KR"/>
        </w:rPr>
        <w:t>November</w:t>
      </w:r>
      <w:r w:rsidR="0031746F">
        <w:rPr>
          <w:rFonts w:eastAsia="맑은 고딕"/>
          <w:lang w:eastAsia="ko-KR"/>
        </w:rPr>
        <w:t>,</w:t>
      </w:r>
      <w:r w:rsidR="00006A2B">
        <w:rPr>
          <w:rFonts w:eastAsia="맑은 고딕"/>
          <w:lang w:eastAsia="ko-KR"/>
        </w:rPr>
        <w:t xml:space="preserve"> 2021</w:t>
      </w:r>
    </w:p>
    <w:p w14:paraId="758E2B30" w14:textId="3A93F3A3"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125A8E">
        <w:rPr>
          <w:rFonts w:cs="Arial"/>
          <w:b/>
          <w:bCs/>
          <w:sz w:val="24"/>
        </w:rPr>
        <w:t>8.5.2</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2F33FBC8"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D739F9" w:rsidRPr="00D739F9">
        <w:rPr>
          <w:rFonts w:ascii="Arial" w:hAnsi="Arial" w:cs="Arial"/>
          <w:b/>
          <w:bCs/>
          <w:sz w:val="24"/>
        </w:rPr>
        <w:t>Issues on Propagation Delay Compensation</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476A4AAE" w14:textId="23596D99" w:rsidR="00D376A1" w:rsidRDefault="007D5642" w:rsidP="00D376A1">
      <w:pPr>
        <w:spacing w:before="240"/>
        <w:rPr>
          <w:sz w:val="22"/>
          <w:lang w:eastAsia="ko-KR"/>
        </w:rPr>
      </w:pPr>
      <w:r>
        <w:rPr>
          <w:sz w:val="22"/>
          <w:lang w:eastAsia="ko-KR"/>
        </w:rPr>
        <w:t>In RAN2#11</w:t>
      </w:r>
      <w:r w:rsidR="00E63484">
        <w:rPr>
          <w:sz w:val="22"/>
          <w:lang w:eastAsia="ko-KR"/>
        </w:rPr>
        <w:t>5</w:t>
      </w:r>
      <w:r>
        <w:rPr>
          <w:sz w:val="22"/>
          <w:lang w:eastAsia="ko-KR"/>
        </w:rPr>
        <w:t>-e</w:t>
      </w:r>
      <w:r w:rsidRPr="005B097D">
        <w:rPr>
          <w:sz w:val="22"/>
          <w:lang w:eastAsia="ko-KR"/>
        </w:rPr>
        <w:t>, RAN2 made the following agreements:</w:t>
      </w:r>
    </w:p>
    <w:p w14:paraId="5ABE614F" w14:textId="77777777" w:rsidR="00D739F9" w:rsidRPr="00362975" w:rsidRDefault="00D739F9" w:rsidP="00D739F9">
      <w:pPr>
        <w:pStyle w:val="Doc-text2"/>
        <w:pBdr>
          <w:top w:val="single" w:sz="4" w:space="1" w:color="auto"/>
          <w:left w:val="single" w:sz="4" w:space="4" w:color="auto"/>
          <w:bottom w:val="single" w:sz="4" w:space="1" w:color="auto"/>
          <w:right w:val="single" w:sz="4" w:space="4" w:color="auto"/>
        </w:pBdr>
        <w:rPr>
          <w:b/>
          <w:bCs/>
        </w:rPr>
      </w:pPr>
      <w:r w:rsidRPr="00362975">
        <w:rPr>
          <w:b/>
          <w:bCs/>
        </w:rPr>
        <w:t>Agreements</w:t>
      </w:r>
    </w:p>
    <w:p w14:paraId="54A8001F" w14:textId="77777777" w:rsidR="00D739F9" w:rsidRDefault="00D739F9" w:rsidP="00D739F9">
      <w:pPr>
        <w:pStyle w:val="Doc-text2"/>
        <w:numPr>
          <w:ilvl w:val="0"/>
          <w:numId w:val="23"/>
        </w:numPr>
        <w:pBdr>
          <w:top w:val="single" w:sz="4" w:space="1" w:color="auto"/>
          <w:left w:val="single" w:sz="4" w:space="4" w:color="auto"/>
          <w:bottom w:val="single" w:sz="4" w:space="1" w:color="auto"/>
          <w:right w:val="single" w:sz="4" w:space="4" w:color="auto"/>
        </w:pBdr>
      </w:pPr>
      <w:r>
        <w:t xml:space="preserve">RAN2 assumes that gNB can perform pre-compensation.  RAN2 agrees to introduce signalling to enable/disable UE-side PDC.  </w:t>
      </w:r>
    </w:p>
    <w:p w14:paraId="4C1978BB" w14:textId="77777777" w:rsidR="00D739F9" w:rsidRDefault="00D739F9" w:rsidP="00D739F9">
      <w:pPr>
        <w:pStyle w:val="Doc-text2"/>
        <w:numPr>
          <w:ilvl w:val="0"/>
          <w:numId w:val="23"/>
        </w:numPr>
        <w:pBdr>
          <w:top w:val="single" w:sz="4" w:space="1" w:color="auto"/>
          <w:left w:val="single" w:sz="4" w:space="4" w:color="auto"/>
          <w:bottom w:val="single" w:sz="4" w:space="1" w:color="auto"/>
          <w:right w:val="single" w:sz="4" w:space="4" w:color="auto"/>
        </w:pBdr>
      </w:pPr>
      <w:r>
        <w:t>The gNB can enable/disable UE-side PDC via unicast-RRC signalling for Rel-17</w:t>
      </w:r>
    </w:p>
    <w:p w14:paraId="0839851D" w14:textId="77777777" w:rsidR="00D739F9" w:rsidRDefault="00D739F9" w:rsidP="00D739F9">
      <w:pPr>
        <w:pStyle w:val="Doc-text2"/>
        <w:numPr>
          <w:ilvl w:val="0"/>
          <w:numId w:val="23"/>
        </w:numPr>
        <w:pBdr>
          <w:top w:val="single" w:sz="4" w:space="1" w:color="auto"/>
          <w:left w:val="single" w:sz="4" w:space="4" w:color="auto"/>
          <w:bottom w:val="single" w:sz="4" w:space="1" w:color="auto"/>
          <w:right w:val="single" w:sz="4" w:space="4" w:color="auto"/>
        </w:pBdr>
      </w:pPr>
      <w:r>
        <w:t xml:space="preserve">RAN2 shall wait for RAN1 to decide the measurement framework for RTT based PDC method and does not preclude UE-side PDC or gNB based pre-compensation at this point.  RAN2 is expecting guidance from RAN1 on what is needed.  </w:t>
      </w:r>
    </w:p>
    <w:p w14:paraId="21B46195" w14:textId="77777777" w:rsidR="00D739F9" w:rsidRDefault="00D739F9" w:rsidP="00D739F9">
      <w:pPr>
        <w:pStyle w:val="Doc-text2"/>
        <w:numPr>
          <w:ilvl w:val="0"/>
          <w:numId w:val="23"/>
        </w:numPr>
        <w:pBdr>
          <w:top w:val="single" w:sz="4" w:space="1" w:color="auto"/>
          <w:left w:val="single" w:sz="4" w:space="4" w:color="auto"/>
          <w:bottom w:val="single" w:sz="4" w:space="1" w:color="auto"/>
          <w:right w:val="single" w:sz="4" w:space="4" w:color="auto"/>
        </w:pBdr>
      </w:pPr>
      <w:r>
        <w:t>UE Assistance information from the UE which could for example be used by gNB to activate PDC is not supported</w:t>
      </w:r>
    </w:p>
    <w:p w14:paraId="201065E0" w14:textId="77777777" w:rsidR="00D739F9" w:rsidRDefault="00D739F9" w:rsidP="00D739F9">
      <w:pPr>
        <w:pStyle w:val="Doc-text2"/>
        <w:numPr>
          <w:ilvl w:val="0"/>
          <w:numId w:val="23"/>
        </w:numPr>
        <w:pBdr>
          <w:top w:val="single" w:sz="4" w:space="1" w:color="auto"/>
          <w:left w:val="single" w:sz="4" w:space="4" w:color="auto"/>
          <w:bottom w:val="single" w:sz="4" w:space="1" w:color="auto"/>
          <w:right w:val="single" w:sz="4" w:space="4" w:color="auto"/>
        </w:pBdr>
      </w:pPr>
      <w:r>
        <w:t>Implicit activation of UE-side PDC when a pre-configured threshold is met is not supported</w:t>
      </w:r>
    </w:p>
    <w:p w14:paraId="30210690" w14:textId="77777777" w:rsidR="00D739F9" w:rsidRDefault="00D739F9" w:rsidP="00D739F9">
      <w:pPr>
        <w:pStyle w:val="Doc-text2"/>
        <w:numPr>
          <w:ilvl w:val="0"/>
          <w:numId w:val="23"/>
        </w:numPr>
        <w:pBdr>
          <w:top w:val="single" w:sz="4" w:space="1" w:color="auto"/>
          <w:left w:val="single" w:sz="4" w:space="4" w:color="auto"/>
          <w:bottom w:val="single" w:sz="4" w:space="1" w:color="auto"/>
          <w:right w:val="single" w:sz="4" w:space="4" w:color="auto"/>
        </w:pBdr>
      </w:pPr>
      <w:r>
        <w:t>UE-based trigger for TA update or RACH procedure for PDC are deprioritized for Release 17</w:t>
      </w:r>
    </w:p>
    <w:p w14:paraId="0BBDFC0A" w14:textId="38BB79CD" w:rsidR="00CD4C7B" w:rsidRPr="00B43B65" w:rsidRDefault="007D5642" w:rsidP="007D5642">
      <w:pPr>
        <w:spacing w:before="240"/>
        <w:rPr>
          <w:sz w:val="22"/>
          <w:lang w:eastAsia="ko-KR"/>
        </w:rPr>
      </w:pPr>
      <w:r>
        <w:rPr>
          <w:sz w:val="22"/>
          <w:lang w:eastAsia="ko-KR"/>
        </w:rPr>
        <w:t xml:space="preserve">This document discusses </w:t>
      </w:r>
      <w:r w:rsidR="00D739F9">
        <w:rPr>
          <w:sz w:val="22"/>
          <w:lang w:eastAsia="ko-KR"/>
        </w:rPr>
        <w:t xml:space="preserve">open </w:t>
      </w:r>
      <w:r w:rsidR="00D2727F">
        <w:rPr>
          <w:sz w:val="22"/>
          <w:lang w:eastAsia="ko-KR"/>
        </w:rPr>
        <w:t xml:space="preserve">RAN2 </w:t>
      </w:r>
      <w:r w:rsidR="00D739F9">
        <w:rPr>
          <w:sz w:val="22"/>
          <w:lang w:eastAsia="ko-KR"/>
        </w:rPr>
        <w:t>issues on propagation delay compensation.</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24C161C0" w14:textId="77777777" w:rsidR="00D739F9" w:rsidRDefault="00D739F9" w:rsidP="00D739F9">
      <w:pPr>
        <w:spacing w:before="240"/>
        <w:jc w:val="both"/>
        <w:rPr>
          <w:sz w:val="22"/>
          <w:lang w:eastAsia="ko-KR"/>
        </w:rPr>
      </w:pPr>
      <w:r w:rsidRPr="00A22A23">
        <w:rPr>
          <w:sz w:val="22"/>
          <w:lang w:eastAsia="ko-KR"/>
        </w:rPr>
        <w:t xml:space="preserve">In Rel-16 IIOT, </w:t>
      </w:r>
      <w:r>
        <w:rPr>
          <w:sz w:val="22"/>
          <w:lang w:eastAsia="ko-KR"/>
        </w:rPr>
        <w:t>PDC mechanism was not defined. However, RAN2’s assumption is to leave it up to UE implementation which is the same as LTE HRLLC. Although the specification does not mandate anything, it does not mean UE does nothing for PDC. A sensible implementation should perform the PDC anyway. A possible way or even a common understanding is to use the existing Timing Advance (TA) value, where TA/2 is theoretically the same as the propagation delay. Hence, we can interpret that Rel-16 IIOT UE has to be equipped with proprietary PDC mechanism.</w:t>
      </w:r>
    </w:p>
    <w:p w14:paraId="7B5F486B" w14:textId="3C4EB535" w:rsidR="00A0536F" w:rsidRDefault="00A0536F" w:rsidP="00D739F9">
      <w:pPr>
        <w:spacing w:before="240"/>
        <w:jc w:val="both"/>
        <w:rPr>
          <w:sz w:val="22"/>
          <w:lang w:eastAsia="ko-KR"/>
        </w:rPr>
      </w:pPr>
      <w:r>
        <w:rPr>
          <w:sz w:val="22"/>
          <w:lang w:eastAsia="ko-KR"/>
        </w:rPr>
        <w:t xml:space="preserve">In addition to the legacy </w:t>
      </w:r>
      <w:r w:rsidR="008F0B1B">
        <w:rPr>
          <w:sz w:val="22"/>
          <w:lang w:eastAsia="ko-KR"/>
        </w:rPr>
        <w:t xml:space="preserve">UE </w:t>
      </w:r>
      <w:r>
        <w:rPr>
          <w:sz w:val="22"/>
          <w:lang w:eastAsia="ko-KR"/>
        </w:rPr>
        <w:t xml:space="preserve">implementation-based PDC, RAN2 agreed to introduce gNB-side pre-compensation where UE shall not perform any compensation. Since the propagation delay </w:t>
      </w:r>
      <w:r w:rsidR="008F0B1B">
        <w:rPr>
          <w:sz w:val="22"/>
          <w:lang w:eastAsia="ko-KR"/>
        </w:rPr>
        <w:t>highly depends on</w:t>
      </w:r>
      <w:r>
        <w:rPr>
          <w:sz w:val="22"/>
          <w:lang w:eastAsia="ko-KR"/>
        </w:rPr>
        <w:t xml:space="preserve"> the distance between gNB and UE, it is true that different UEs have different value of the propagation delay. It means that the pre-compensation is not feasible for broadcast delivery method of </w:t>
      </w:r>
      <w:r w:rsidRPr="00A0536F">
        <w:rPr>
          <w:i/>
          <w:sz w:val="22"/>
          <w:lang w:eastAsia="ko-KR"/>
        </w:rPr>
        <w:t>ReferenceTimeInfo</w:t>
      </w:r>
      <w:r>
        <w:rPr>
          <w:sz w:val="22"/>
          <w:lang w:eastAsia="ko-KR"/>
        </w:rPr>
        <w:t xml:space="preserve"> by system information. Therefore it is reasonable to limit the usage of this pre-compensation to only unicast delivery.</w:t>
      </w:r>
    </w:p>
    <w:p w14:paraId="48C410CF" w14:textId="5B875C82" w:rsidR="00A0536F" w:rsidRDefault="00A0536F" w:rsidP="00A0536F">
      <w:pPr>
        <w:spacing w:before="240"/>
        <w:jc w:val="both"/>
        <w:rPr>
          <w:b/>
          <w:sz w:val="22"/>
          <w:lang w:eastAsia="ko-KR"/>
        </w:rPr>
      </w:pPr>
      <w:r w:rsidRPr="004A7BDB">
        <w:rPr>
          <w:b/>
          <w:sz w:val="22"/>
          <w:lang w:eastAsia="ko-KR"/>
        </w:rPr>
        <w:t xml:space="preserve">Proposal </w:t>
      </w:r>
      <w:r>
        <w:rPr>
          <w:b/>
          <w:sz w:val="22"/>
          <w:lang w:eastAsia="ko-KR"/>
        </w:rPr>
        <w:t>1</w:t>
      </w:r>
      <w:r w:rsidRPr="004A7BDB">
        <w:rPr>
          <w:b/>
          <w:sz w:val="22"/>
          <w:lang w:eastAsia="ko-KR"/>
        </w:rPr>
        <w:t>.</w:t>
      </w:r>
      <w:r w:rsidRPr="00057DDD">
        <w:rPr>
          <w:b/>
          <w:sz w:val="22"/>
          <w:lang w:eastAsia="ko-KR"/>
        </w:rPr>
        <w:tab/>
      </w:r>
      <w:r>
        <w:rPr>
          <w:b/>
          <w:sz w:val="22"/>
          <w:lang w:eastAsia="ko-KR"/>
        </w:rPr>
        <w:t>E</w:t>
      </w:r>
      <w:r w:rsidRPr="00057DDD">
        <w:rPr>
          <w:b/>
          <w:sz w:val="22"/>
          <w:lang w:eastAsia="ko-KR"/>
        </w:rPr>
        <w:t>nabl</w:t>
      </w:r>
      <w:r>
        <w:rPr>
          <w:b/>
          <w:sz w:val="22"/>
          <w:lang w:eastAsia="ko-KR"/>
        </w:rPr>
        <w:t>ing</w:t>
      </w:r>
      <w:r w:rsidRPr="00057DDD">
        <w:rPr>
          <w:b/>
          <w:sz w:val="22"/>
          <w:lang w:eastAsia="ko-KR"/>
        </w:rPr>
        <w:t>/disabl</w:t>
      </w:r>
      <w:r>
        <w:rPr>
          <w:b/>
          <w:sz w:val="22"/>
          <w:lang w:eastAsia="ko-KR"/>
        </w:rPr>
        <w:t>ing</w:t>
      </w:r>
      <w:r w:rsidRPr="00057DDD">
        <w:rPr>
          <w:b/>
          <w:sz w:val="22"/>
          <w:lang w:eastAsia="ko-KR"/>
        </w:rPr>
        <w:t xml:space="preserve"> UE-side PDC</w:t>
      </w:r>
      <w:r w:rsidR="00D75482">
        <w:rPr>
          <w:b/>
          <w:sz w:val="22"/>
          <w:lang w:eastAsia="ko-KR"/>
        </w:rPr>
        <w:t xml:space="preserve"> is supported </w:t>
      </w:r>
      <w:r>
        <w:rPr>
          <w:b/>
          <w:sz w:val="22"/>
          <w:lang w:eastAsia="ko-KR"/>
        </w:rPr>
        <w:t xml:space="preserve">only for </w:t>
      </w:r>
      <w:r w:rsidRPr="00057DDD">
        <w:rPr>
          <w:b/>
          <w:i/>
          <w:sz w:val="22"/>
          <w:lang w:eastAsia="ko-KR"/>
        </w:rPr>
        <w:t>ReferenceTimeInfo</w:t>
      </w:r>
      <w:r>
        <w:rPr>
          <w:b/>
          <w:sz w:val="22"/>
          <w:lang w:eastAsia="ko-KR"/>
        </w:rPr>
        <w:t xml:space="preserve"> by unicast delivery.</w:t>
      </w:r>
    </w:p>
    <w:p w14:paraId="24C5C033" w14:textId="52FC15DE" w:rsidR="00A0536F" w:rsidRPr="00057DDD" w:rsidRDefault="00A0536F" w:rsidP="00A0536F">
      <w:pPr>
        <w:spacing w:before="240"/>
        <w:jc w:val="both"/>
        <w:rPr>
          <w:color w:val="FF0000"/>
          <w:lang w:eastAsia="ko-KR"/>
        </w:rPr>
      </w:pPr>
      <w:r w:rsidRPr="004A7BDB">
        <w:rPr>
          <w:b/>
          <w:sz w:val="22"/>
          <w:lang w:eastAsia="ko-KR"/>
        </w:rPr>
        <w:t xml:space="preserve">Proposal </w:t>
      </w:r>
      <w:r>
        <w:rPr>
          <w:b/>
          <w:sz w:val="22"/>
          <w:lang w:eastAsia="ko-KR"/>
        </w:rPr>
        <w:t>2</w:t>
      </w:r>
      <w:r w:rsidRPr="004A7BDB">
        <w:rPr>
          <w:b/>
          <w:sz w:val="22"/>
          <w:lang w:eastAsia="ko-KR"/>
        </w:rPr>
        <w:t>.</w:t>
      </w:r>
      <w:r w:rsidRPr="00057DDD">
        <w:rPr>
          <w:b/>
          <w:sz w:val="22"/>
          <w:lang w:eastAsia="ko-KR"/>
        </w:rPr>
        <w:tab/>
      </w:r>
      <w:r>
        <w:rPr>
          <w:b/>
          <w:sz w:val="22"/>
          <w:lang w:eastAsia="ko-KR"/>
        </w:rPr>
        <w:t>E</w:t>
      </w:r>
      <w:r w:rsidRPr="00057DDD">
        <w:rPr>
          <w:b/>
          <w:sz w:val="22"/>
          <w:lang w:eastAsia="ko-KR"/>
        </w:rPr>
        <w:t>nabl</w:t>
      </w:r>
      <w:r>
        <w:rPr>
          <w:b/>
          <w:sz w:val="22"/>
          <w:lang w:eastAsia="ko-KR"/>
        </w:rPr>
        <w:t>ing</w:t>
      </w:r>
      <w:r w:rsidRPr="00057DDD">
        <w:rPr>
          <w:b/>
          <w:sz w:val="22"/>
          <w:lang w:eastAsia="ko-KR"/>
        </w:rPr>
        <w:t>/disabl</w:t>
      </w:r>
      <w:r>
        <w:rPr>
          <w:b/>
          <w:sz w:val="22"/>
          <w:lang w:eastAsia="ko-KR"/>
        </w:rPr>
        <w:t>ing</w:t>
      </w:r>
      <w:r w:rsidRPr="00057DDD">
        <w:rPr>
          <w:b/>
          <w:sz w:val="22"/>
          <w:lang w:eastAsia="ko-KR"/>
        </w:rPr>
        <w:t xml:space="preserve"> UE-side PDC</w:t>
      </w:r>
      <w:r>
        <w:rPr>
          <w:b/>
          <w:sz w:val="22"/>
          <w:lang w:eastAsia="ko-KR"/>
        </w:rPr>
        <w:t xml:space="preserve"> is not </w:t>
      </w:r>
      <w:r w:rsidR="00D75482">
        <w:rPr>
          <w:b/>
          <w:sz w:val="22"/>
          <w:lang w:eastAsia="ko-KR"/>
        </w:rPr>
        <w:t>supported</w:t>
      </w:r>
      <w:r>
        <w:rPr>
          <w:b/>
          <w:sz w:val="22"/>
          <w:lang w:eastAsia="ko-KR"/>
        </w:rPr>
        <w:t xml:space="preserve"> for </w:t>
      </w:r>
      <w:r w:rsidRPr="00057DDD">
        <w:rPr>
          <w:b/>
          <w:i/>
          <w:sz w:val="22"/>
          <w:lang w:eastAsia="ko-KR"/>
        </w:rPr>
        <w:t>ReferenceTimeInfo</w:t>
      </w:r>
      <w:r>
        <w:rPr>
          <w:b/>
          <w:sz w:val="22"/>
          <w:lang w:eastAsia="ko-KR"/>
        </w:rPr>
        <w:t xml:space="preserve"> by broadcast delivery (SIB).</w:t>
      </w:r>
      <w:r w:rsidRPr="00057DDD">
        <w:rPr>
          <w:color w:val="FF0000"/>
          <w:lang w:eastAsia="ko-KR"/>
        </w:rPr>
        <w:t xml:space="preserve"> </w:t>
      </w:r>
    </w:p>
    <w:p w14:paraId="631B23AA" w14:textId="25E25A57" w:rsidR="00A0536F" w:rsidRPr="00A22A23" w:rsidRDefault="00A0536F" w:rsidP="00A0536F">
      <w:pPr>
        <w:spacing w:before="240"/>
        <w:jc w:val="both"/>
        <w:rPr>
          <w:sz w:val="22"/>
          <w:lang w:eastAsia="ko-KR"/>
        </w:rPr>
      </w:pPr>
      <w:r>
        <w:rPr>
          <w:sz w:val="22"/>
          <w:lang w:eastAsia="ko-KR"/>
        </w:rPr>
        <w:t xml:space="preserve">Rel-17 IIOT WI aims to develop a PDC mechanism(s) including PD estimation, signalling, and compensation. In compensation part, the difference of Rel-17 would be whether newly defined PD signalling is used by a UE. Therefore, an RRC signalling should indicate whether Rel-17 PDC is applied by a UE or not and which entity should perform the compensation i.e. (1) Rel-17 standardized PDC, </w:t>
      </w:r>
      <w:r w:rsidRPr="00A0536F">
        <w:rPr>
          <w:sz w:val="22"/>
          <w:lang w:eastAsia="ko-KR"/>
        </w:rPr>
        <w:t xml:space="preserve">(2) No UE side compensation </w:t>
      </w:r>
      <w:r>
        <w:rPr>
          <w:sz w:val="22"/>
          <w:lang w:eastAsia="ko-KR"/>
        </w:rPr>
        <w:t>(i.e. gNB-</w:t>
      </w:r>
      <w:r>
        <w:rPr>
          <w:sz w:val="22"/>
          <w:lang w:eastAsia="ko-KR"/>
        </w:rPr>
        <w:lastRenderedPageBreak/>
        <w:t>side compensation)</w:t>
      </w:r>
      <w:r w:rsidR="00CC3DDA">
        <w:rPr>
          <w:sz w:val="22"/>
          <w:lang w:eastAsia="ko-KR"/>
        </w:rPr>
        <w:t>,</w:t>
      </w:r>
      <w:r>
        <w:rPr>
          <w:sz w:val="22"/>
          <w:lang w:eastAsia="ko-KR"/>
        </w:rPr>
        <w:t xml:space="preserve"> (3) Rel-16 PDC based on UE implementation. Rel-17 PDC implies that NW periodically delivers the accurate PD value to UE. The indication can be included in </w:t>
      </w:r>
      <w:r w:rsidRPr="005330D5">
        <w:rPr>
          <w:i/>
          <w:sz w:val="22"/>
          <w:lang w:eastAsia="ko-KR"/>
        </w:rPr>
        <w:t>ReferenceTimeInfo</w:t>
      </w:r>
      <w:r>
        <w:rPr>
          <w:sz w:val="22"/>
          <w:lang w:eastAsia="ko-KR"/>
        </w:rPr>
        <w:t>.</w:t>
      </w:r>
    </w:p>
    <w:p w14:paraId="218E80BC" w14:textId="5568F11A" w:rsidR="00D739F9" w:rsidRDefault="00D739F9" w:rsidP="00D739F9">
      <w:pPr>
        <w:spacing w:before="240"/>
        <w:jc w:val="both"/>
        <w:rPr>
          <w:b/>
          <w:sz w:val="22"/>
          <w:lang w:eastAsia="ko-KR"/>
        </w:rPr>
      </w:pPr>
      <w:r w:rsidRPr="004A7BDB">
        <w:rPr>
          <w:b/>
          <w:sz w:val="22"/>
          <w:lang w:eastAsia="ko-KR"/>
        </w:rPr>
        <w:t xml:space="preserve">Proposal </w:t>
      </w:r>
      <w:r w:rsidR="00A0536F">
        <w:rPr>
          <w:b/>
          <w:sz w:val="22"/>
          <w:lang w:eastAsia="ko-KR"/>
        </w:rPr>
        <w:t>3</w:t>
      </w:r>
      <w:r w:rsidRPr="004A7BDB">
        <w:rPr>
          <w:b/>
          <w:sz w:val="22"/>
          <w:lang w:eastAsia="ko-KR"/>
        </w:rPr>
        <w:t>.</w:t>
      </w:r>
      <w:r>
        <w:rPr>
          <w:b/>
          <w:sz w:val="22"/>
          <w:lang w:eastAsia="ko-KR"/>
        </w:rPr>
        <w:t xml:space="preserve"> RRC signalling indicates whether gNB provides PD value for UE-side compensation, i.e. (1) PDC based on gNB’s signalling on PD value (2) No UE side compensation (3) UE implementation based Rel-16 PDC.</w:t>
      </w:r>
    </w:p>
    <w:p w14:paraId="3FA5EA4B" w14:textId="175CAA98" w:rsidR="00057DDD" w:rsidRPr="00D739F9" w:rsidRDefault="00D739F9" w:rsidP="006B04A5">
      <w:pPr>
        <w:spacing w:before="240"/>
        <w:jc w:val="both"/>
        <w:rPr>
          <w:color w:val="FF0000"/>
          <w:lang w:eastAsia="ko-KR"/>
        </w:rPr>
      </w:pPr>
      <w:r>
        <w:rPr>
          <w:b/>
          <w:sz w:val="22"/>
          <w:lang w:eastAsia="ko-KR"/>
        </w:rPr>
        <w:t xml:space="preserve">Proposal </w:t>
      </w:r>
      <w:r w:rsidR="00A0536F">
        <w:rPr>
          <w:b/>
          <w:sz w:val="22"/>
          <w:lang w:eastAsia="ko-KR"/>
        </w:rPr>
        <w:t>4</w:t>
      </w:r>
      <w:r>
        <w:rPr>
          <w:b/>
          <w:sz w:val="22"/>
          <w:lang w:eastAsia="ko-KR"/>
        </w:rPr>
        <w:t xml:space="preserve">. This indication is included in </w:t>
      </w:r>
      <w:r w:rsidRPr="007459B3">
        <w:rPr>
          <w:b/>
          <w:i/>
          <w:sz w:val="22"/>
          <w:lang w:eastAsia="ko-KR"/>
        </w:rPr>
        <w:t>ReferenceTimeInfo</w:t>
      </w:r>
      <w:r>
        <w:rPr>
          <w:b/>
          <w:sz w:val="22"/>
          <w:lang w:eastAsia="ko-KR"/>
        </w:rPr>
        <w:t>.</w:t>
      </w: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3C976023" w:rsidR="00B43B65" w:rsidRDefault="00EC3277" w:rsidP="00ED602D">
      <w:pPr>
        <w:rPr>
          <w:sz w:val="22"/>
          <w:lang w:eastAsia="ko-KR"/>
        </w:rPr>
      </w:pPr>
      <w:r>
        <w:rPr>
          <w:sz w:val="22"/>
          <w:lang w:eastAsia="ko-KR"/>
        </w:rPr>
        <w:t xml:space="preserve">Based on the discussion above, </w:t>
      </w:r>
      <w:r w:rsidR="00AB47F6">
        <w:rPr>
          <w:sz w:val="22"/>
          <w:lang w:eastAsia="ko-KR"/>
        </w:rPr>
        <w:t>RAN2 is</w:t>
      </w:r>
      <w:bookmarkStart w:id="0" w:name="_GoBack"/>
      <w:bookmarkEnd w:id="0"/>
      <w:r w:rsidR="00AB47F6">
        <w:rPr>
          <w:sz w:val="22"/>
          <w:lang w:eastAsia="ko-KR"/>
        </w:rPr>
        <w:t xml:space="preserve"> requested to discuss and agree the following proposals:</w:t>
      </w:r>
    </w:p>
    <w:p w14:paraId="1C060071" w14:textId="77777777" w:rsidR="004E6D5B" w:rsidRDefault="004E6D5B" w:rsidP="004E6D5B">
      <w:pPr>
        <w:spacing w:before="240"/>
        <w:jc w:val="both"/>
        <w:rPr>
          <w:b/>
          <w:sz w:val="22"/>
          <w:lang w:eastAsia="ko-KR"/>
        </w:rPr>
      </w:pPr>
      <w:r w:rsidRPr="004A7BDB">
        <w:rPr>
          <w:b/>
          <w:sz w:val="22"/>
          <w:lang w:eastAsia="ko-KR"/>
        </w:rPr>
        <w:t xml:space="preserve">Proposal </w:t>
      </w:r>
      <w:r>
        <w:rPr>
          <w:b/>
          <w:sz w:val="22"/>
          <w:lang w:eastAsia="ko-KR"/>
        </w:rPr>
        <w:t>1</w:t>
      </w:r>
      <w:r w:rsidRPr="004A7BDB">
        <w:rPr>
          <w:b/>
          <w:sz w:val="22"/>
          <w:lang w:eastAsia="ko-KR"/>
        </w:rPr>
        <w:t>.</w:t>
      </w:r>
      <w:r w:rsidRPr="00057DDD">
        <w:rPr>
          <w:b/>
          <w:sz w:val="22"/>
          <w:lang w:eastAsia="ko-KR"/>
        </w:rPr>
        <w:tab/>
      </w:r>
      <w:r>
        <w:rPr>
          <w:b/>
          <w:sz w:val="22"/>
          <w:lang w:eastAsia="ko-KR"/>
        </w:rPr>
        <w:t>E</w:t>
      </w:r>
      <w:r w:rsidRPr="00057DDD">
        <w:rPr>
          <w:b/>
          <w:sz w:val="22"/>
          <w:lang w:eastAsia="ko-KR"/>
        </w:rPr>
        <w:t>nabl</w:t>
      </w:r>
      <w:r>
        <w:rPr>
          <w:b/>
          <w:sz w:val="22"/>
          <w:lang w:eastAsia="ko-KR"/>
        </w:rPr>
        <w:t>ing</w:t>
      </w:r>
      <w:r w:rsidRPr="00057DDD">
        <w:rPr>
          <w:b/>
          <w:sz w:val="22"/>
          <w:lang w:eastAsia="ko-KR"/>
        </w:rPr>
        <w:t>/disabl</w:t>
      </w:r>
      <w:r>
        <w:rPr>
          <w:b/>
          <w:sz w:val="22"/>
          <w:lang w:eastAsia="ko-KR"/>
        </w:rPr>
        <w:t>ing</w:t>
      </w:r>
      <w:r w:rsidRPr="00057DDD">
        <w:rPr>
          <w:b/>
          <w:sz w:val="22"/>
          <w:lang w:eastAsia="ko-KR"/>
        </w:rPr>
        <w:t xml:space="preserve"> UE-side PDC</w:t>
      </w:r>
      <w:r>
        <w:rPr>
          <w:b/>
          <w:sz w:val="22"/>
          <w:lang w:eastAsia="ko-KR"/>
        </w:rPr>
        <w:t xml:space="preserve"> is supported only for </w:t>
      </w:r>
      <w:r w:rsidRPr="00057DDD">
        <w:rPr>
          <w:b/>
          <w:i/>
          <w:sz w:val="22"/>
          <w:lang w:eastAsia="ko-KR"/>
        </w:rPr>
        <w:t>ReferenceTimeInfo</w:t>
      </w:r>
      <w:r>
        <w:rPr>
          <w:b/>
          <w:sz w:val="22"/>
          <w:lang w:eastAsia="ko-KR"/>
        </w:rPr>
        <w:t xml:space="preserve"> by unicast delivery.</w:t>
      </w:r>
    </w:p>
    <w:p w14:paraId="2D4BB4F6" w14:textId="77777777" w:rsidR="004E6D5B" w:rsidRPr="00057DDD" w:rsidRDefault="004E6D5B" w:rsidP="004E6D5B">
      <w:pPr>
        <w:spacing w:before="240"/>
        <w:jc w:val="both"/>
        <w:rPr>
          <w:color w:val="FF0000"/>
          <w:lang w:eastAsia="ko-KR"/>
        </w:rPr>
      </w:pPr>
      <w:r w:rsidRPr="004A7BDB">
        <w:rPr>
          <w:b/>
          <w:sz w:val="22"/>
          <w:lang w:eastAsia="ko-KR"/>
        </w:rPr>
        <w:t xml:space="preserve">Proposal </w:t>
      </w:r>
      <w:r>
        <w:rPr>
          <w:b/>
          <w:sz w:val="22"/>
          <w:lang w:eastAsia="ko-KR"/>
        </w:rPr>
        <w:t>2</w:t>
      </w:r>
      <w:r w:rsidRPr="004A7BDB">
        <w:rPr>
          <w:b/>
          <w:sz w:val="22"/>
          <w:lang w:eastAsia="ko-KR"/>
        </w:rPr>
        <w:t>.</w:t>
      </w:r>
      <w:r w:rsidRPr="00057DDD">
        <w:rPr>
          <w:b/>
          <w:sz w:val="22"/>
          <w:lang w:eastAsia="ko-KR"/>
        </w:rPr>
        <w:tab/>
      </w:r>
      <w:r>
        <w:rPr>
          <w:b/>
          <w:sz w:val="22"/>
          <w:lang w:eastAsia="ko-KR"/>
        </w:rPr>
        <w:t>E</w:t>
      </w:r>
      <w:r w:rsidRPr="00057DDD">
        <w:rPr>
          <w:b/>
          <w:sz w:val="22"/>
          <w:lang w:eastAsia="ko-KR"/>
        </w:rPr>
        <w:t>nabl</w:t>
      </w:r>
      <w:r>
        <w:rPr>
          <w:b/>
          <w:sz w:val="22"/>
          <w:lang w:eastAsia="ko-KR"/>
        </w:rPr>
        <w:t>ing</w:t>
      </w:r>
      <w:r w:rsidRPr="00057DDD">
        <w:rPr>
          <w:b/>
          <w:sz w:val="22"/>
          <w:lang w:eastAsia="ko-KR"/>
        </w:rPr>
        <w:t>/disabl</w:t>
      </w:r>
      <w:r>
        <w:rPr>
          <w:b/>
          <w:sz w:val="22"/>
          <w:lang w:eastAsia="ko-KR"/>
        </w:rPr>
        <w:t>ing</w:t>
      </w:r>
      <w:r w:rsidRPr="00057DDD">
        <w:rPr>
          <w:b/>
          <w:sz w:val="22"/>
          <w:lang w:eastAsia="ko-KR"/>
        </w:rPr>
        <w:t xml:space="preserve"> UE-side PDC</w:t>
      </w:r>
      <w:r>
        <w:rPr>
          <w:b/>
          <w:sz w:val="22"/>
          <w:lang w:eastAsia="ko-KR"/>
        </w:rPr>
        <w:t xml:space="preserve"> is not supported for </w:t>
      </w:r>
      <w:r w:rsidRPr="00057DDD">
        <w:rPr>
          <w:b/>
          <w:i/>
          <w:sz w:val="22"/>
          <w:lang w:eastAsia="ko-KR"/>
        </w:rPr>
        <w:t>ReferenceTimeInfo</w:t>
      </w:r>
      <w:r>
        <w:rPr>
          <w:b/>
          <w:sz w:val="22"/>
          <w:lang w:eastAsia="ko-KR"/>
        </w:rPr>
        <w:t xml:space="preserve"> by broadcast delivery (SIB).</w:t>
      </w:r>
      <w:r w:rsidRPr="00057DDD">
        <w:rPr>
          <w:color w:val="FF0000"/>
          <w:lang w:eastAsia="ko-KR"/>
        </w:rPr>
        <w:t xml:space="preserve"> </w:t>
      </w:r>
    </w:p>
    <w:p w14:paraId="443AF21E" w14:textId="77777777" w:rsidR="004E6D5B" w:rsidRDefault="004E6D5B" w:rsidP="004E6D5B">
      <w:pPr>
        <w:spacing w:before="240"/>
        <w:jc w:val="both"/>
        <w:rPr>
          <w:b/>
          <w:sz w:val="22"/>
          <w:lang w:eastAsia="ko-KR"/>
        </w:rPr>
      </w:pPr>
      <w:r w:rsidRPr="004A7BDB">
        <w:rPr>
          <w:b/>
          <w:sz w:val="22"/>
          <w:lang w:eastAsia="ko-KR"/>
        </w:rPr>
        <w:t xml:space="preserve">Proposal </w:t>
      </w:r>
      <w:r>
        <w:rPr>
          <w:b/>
          <w:sz w:val="22"/>
          <w:lang w:eastAsia="ko-KR"/>
        </w:rPr>
        <w:t>3</w:t>
      </w:r>
      <w:r w:rsidRPr="004A7BDB">
        <w:rPr>
          <w:b/>
          <w:sz w:val="22"/>
          <w:lang w:eastAsia="ko-KR"/>
        </w:rPr>
        <w:t>.</w:t>
      </w:r>
      <w:r>
        <w:rPr>
          <w:b/>
          <w:sz w:val="22"/>
          <w:lang w:eastAsia="ko-KR"/>
        </w:rPr>
        <w:t xml:space="preserve"> RRC signalling indicates whether gNB provides PD value for UE-side compensation, i.e. (1) PDC based on gNB’s signalling on PD value (2) No UE side compensation (3) UE implementation based Rel-16 PDC.</w:t>
      </w:r>
    </w:p>
    <w:p w14:paraId="246744B0" w14:textId="77777777" w:rsidR="004E6D5B" w:rsidRPr="00D739F9" w:rsidRDefault="004E6D5B" w:rsidP="004E6D5B">
      <w:pPr>
        <w:spacing w:before="240"/>
        <w:jc w:val="both"/>
        <w:rPr>
          <w:color w:val="FF0000"/>
          <w:lang w:eastAsia="ko-KR"/>
        </w:rPr>
      </w:pPr>
      <w:r>
        <w:rPr>
          <w:b/>
          <w:sz w:val="22"/>
          <w:lang w:eastAsia="ko-KR"/>
        </w:rPr>
        <w:t xml:space="preserve">Proposal 4. This indication is included in </w:t>
      </w:r>
      <w:r w:rsidRPr="007459B3">
        <w:rPr>
          <w:b/>
          <w:i/>
          <w:sz w:val="22"/>
          <w:lang w:eastAsia="ko-KR"/>
        </w:rPr>
        <w:t>ReferenceTimeInfo</w:t>
      </w:r>
      <w:r>
        <w:rPr>
          <w:b/>
          <w:sz w:val="22"/>
          <w:lang w:eastAsia="ko-KR"/>
        </w:rPr>
        <w:t>.</w:t>
      </w:r>
    </w:p>
    <w:p w14:paraId="49B772C6" w14:textId="77777777" w:rsidR="00847201" w:rsidRPr="004E6D5B" w:rsidRDefault="00847201" w:rsidP="00847201">
      <w:pPr>
        <w:overflowPunct/>
        <w:autoSpaceDE/>
        <w:autoSpaceDN/>
        <w:adjustRightInd/>
        <w:rPr>
          <w:b/>
          <w:sz w:val="22"/>
          <w:lang w:eastAsia="ko-KR"/>
        </w:rPr>
      </w:pPr>
    </w:p>
    <w:sectPr w:rsidR="00847201" w:rsidRPr="004E6D5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DCCA3" w14:textId="77777777" w:rsidR="00D06870" w:rsidRDefault="00D06870">
      <w:r>
        <w:separator/>
      </w:r>
    </w:p>
  </w:endnote>
  <w:endnote w:type="continuationSeparator" w:id="0">
    <w:p w14:paraId="021532A1" w14:textId="77777777" w:rsidR="00D06870" w:rsidRDefault="00D06870">
      <w:r>
        <w:continuationSeparator/>
      </w:r>
    </w:p>
  </w:endnote>
  <w:endnote w:type="continuationNotice" w:id="1">
    <w:p w14:paraId="07DCC29A" w14:textId="77777777" w:rsidR="00D06870" w:rsidRDefault="00D06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1D3AB" w14:textId="77777777" w:rsidR="00D06870" w:rsidRDefault="00D06870">
      <w:r>
        <w:separator/>
      </w:r>
    </w:p>
  </w:footnote>
  <w:footnote w:type="continuationSeparator" w:id="0">
    <w:p w14:paraId="73490EE4" w14:textId="77777777" w:rsidR="00D06870" w:rsidRDefault="00D06870">
      <w:r>
        <w:continuationSeparator/>
      </w:r>
    </w:p>
  </w:footnote>
  <w:footnote w:type="continuationNotice" w:id="1">
    <w:p w14:paraId="5F9B34CB" w14:textId="77777777" w:rsidR="00D06870" w:rsidRDefault="00D068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4E3471EC"/>
    <w:multiLevelType w:val="hybridMultilevel"/>
    <w:tmpl w:val="4C26A464"/>
    <w:lvl w:ilvl="0" w:tplc="830CE1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2"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4"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9"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21"/>
  </w:num>
  <w:num w:numId="8">
    <w:abstractNumId w:val="15"/>
  </w:num>
  <w:num w:numId="9">
    <w:abstractNumId w:val="13"/>
  </w:num>
  <w:num w:numId="10">
    <w:abstractNumId w:val="20"/>
  </w:num>
  <w:num w:numId="11">
    <w:abstractNumId w:val="14"/>
  </w:num>
  <w:num w:numId="12">
    <w:abstractNumId w:val="12"/>
  </w:num>
  <w:num w:numId="13">
    <w:abstractNumId w:val="7"/>
  </w:num>
  <w:num w:numId="14">
    <w:abstractNumId w:val="8"/>
  </w:num>
  <w:num w:numId="15">
    <w:abstractNumId w:val="10"/>
  </w:num>
  <w:num w:numId="16">
    <w:abstractNumId w:val="11"/>
  </w:num>
  <w:num w:numId="17">
    <w:abstractNumId w:val="18"/>
  </w:num>
  <w:num w:numId="18">
    <w:abstractNumId w:val="19"/>
  </w:num>
  <w:num w:numId="19">
    <w:abstractNumId w:val="2"/>
  </w:num>
  <w:num w:numId="20">
    <w:abstractNumId w:val="17"/>
  </w:num>
  <w:num w:numId="21">
    <w:abstractNumId w:val="3"/>
  </w:num>
  <w:num w:numId="22">
    <w:abstractNumId w:val="16"/>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431E"/>
    <w:rsid w:val="00016E90"/>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57DDD"/>
    <w:rsid w:val="00065106"/>
    <w:rsid w:val="000656C6"/>
    <w:rsid w:val="000658D1"/>
    <w:rsid w:val="000665E2"/>
    <w:rsid w:val="00066E93"/>
    <w:rsid w:val="00070644"/>
    <w:rsid w:val="000721ED"/>
    <w:rsid w:val="00072E4B"/>
    <w:rsid w:val="00073C25"/>
    <w:rsid w:val="00080512"/>
    <w:rsid w:val="00082C05"/>
    <w:rsid w:val="00084EE7"/>
    <w:rsid w:val="00086338"/>
    <w:rsid w:val="00087D20"/>
    <w:rsid w:val="00090251"/>
    <w:rsid w:val="00090468"/>
    <w:rsid w:val="0009078A"/>
    <w:rsid w:val="0009151D"/>
    <w:rsid w:val="0009265B"/>
    <w:rsid w:val="000940B9"/>
    <w:rsid w:val="00095799"/>
    <w:rsid w:val="000A5DC9"/>
    <w:rsid w:val="000A70D3"/>
    <w:rsid w:val="000A7387"/>
    <w:rsid w:val="000B0B33"/>
    <w:rsid w:val="000B15D2"/>
    <w:rsid w:val="000B346C"/>
    <w:rsid w:val="000B5936"/>
    <w:rsid w:val="000B72BB"/>
    <w:rsid w:val="000B7BCF"/>
    <w:rsid w:val="000C1610"/>
    <w:rsid w:val="000C1DC9"/>
    <w:rsid w:val="000C2004"/>
    <w:rsid w:val="000C29DF"/>
    <w:rsid w:val="000C4661"/>
    <w:rsid w:val="000C522B"/>
    <w:rsid w:val="000C7A74"/>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37A"/>
    <w:rsid w:val="00125389"/>
    <w:rsid w:val="0012595C"/>
    <w:rsid w:val="00125A8E"/>
    <w:rsid w:val="0012661A"/>
    <w:rsid w:val="001315D2"/>
    <w:rsid w:val="00131AD5"/>
    <w:rsid w:val="00131D33"/>
    <w:rsid w:val="001326C2"/>
    <w:rsid w:val="00133FC0"/>
    <w:rsid w:val="0013447B"/>
    <w:rsid w:val="00140130"/>
    <w:rsid w:val="00140758"/>
    <w:rsid w:val="001434E6"/>
    <w:rsid w:val="00144B1E"/>
    <w:rsid w:val="00145075"/>
    <w:rsid w:val="00145E81"/>
    <w:rsid w:val="00147750"/>
    <w:rsid w:val="00153348"/>
    <w:rsid w:val="00153844"/>
    <w:rsid w:val="00153C1D"/>
    <w:rsid w:val="001548D0"/>
    <w:rsid w:val="001610D0"/>
    <w:rsid w:val="00162BE6"/>
    <w:rsid w:val="00162F06"/>
    <w:rsid w:val="00163DDD"/>
    <w:rsid w:val="00166A67"/>
    <w:rsid w:val="00170D0A"/>
    <w:rsid w:val="00171DF3"/>
    <w:rsid w:val="001741A0"/>
    <w:rsid w:val="00174211"/>
    <w:rsid w:val="00175FA0"/>
    <w:rsid w:val="00181347"/>
    <w:rsid w:val="00181EE3"/>
    <w:rsid w:val="001826D6"/>
    <w:rsid w:val="00182F12"/>
    <w:rsid w:val="0018358D"/>
    <w:rsid w:val="00183616"/>
    <w:rsid w:val="00184677"/>
    <w:rsid w:val="001912A5"/>
    <w:rsid w:val="001924F8"/>
    <w:rsid w:val="00193E0C"/>
    <w:rsid w:val="00194CD0"/>
    <w:rsid w:val="00195E90"/>
    <w:rsid w:val="00197620"/>
    <w:rsid w:val="001A010B"/>
    <w:rsid w:val="001A0627"/>
    <w:rsid w:val="001A3BC4"/>
    <w:rsid w:val="001A62B3"/>
    <w:rsid w:val="001B02A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5A33"/>
    <w:rsid w:val="001F671B"/>
    <w:rsid w:val="001F7831"/>
    <w:rsid w:val="00200EE0"/>
    <w:rsid w:val="00202876"/>
    <w:rsid w:val="00204045"/>
    <w:rsid w:val="00206727"/>
    <w:rsid w:val="00206CB6"/>
    <w:rsid w:val="0020712B"/>
    <w:rsid w:val="00212FB0"/>
    <w:rsid w:val="00214BD3"/>
    <w:rsid w:val="0021664E"/>
    <w:rsid w:val="002169EC"/>
    <w:rsid w:val="00216FDB"/>
    <w:rsid w:val="002218C5"/>
    <w:rsid w:val="00221FE3"/>
    <w:rsid w:val="0022606D"/>
    <w:rsid w:val="00231728"/>
    <w:rsid w:val="002334FD"/>
    <w:rsid w:val="00233C1A"/>
    <w:rsid w:val="00234AA5"/>
    <w:rsid w:val="002359DA"/>
    <w:rsid w:val="00237CA9"/>
    <w:rsid w:val="00237FF5"/>
    <w:rsid w:val="00242BA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A6B1A"/>
    <w:rsid w:val="002B0CCF"/>
    <w:rsid w:val="002B7944"/>
    <w:rsid w:val="002B7BD9"/>
    <w:rsid w:val="002C38E4"/>
    <w:rsid w:val="002C55F5"/>
    <w:rsid w:val="002D19E1"/>
    <w:rsid w:val="002D1D52"/>
    <w:rsid w:val="002D215B"/>
    <w:rsid w:val="002D5F48"/>
    <w:rsid w:val="002D6456"/>
    <w:rsid w:val="002E00F0"/>
    <w:rsid w:val="002E104E"/>
    <w:rsid w:val="002E25B0"/>
    <w:rsid w:val="002E317F"/>
    <w:rsid w:val="002E42C7"/>
    <w:rsid w:val="002E566E"/>
    <w:rsid w:val="002E6106"/>
    <w:rsid w:val="002F0423"/>
    <w:rsid w:val="002F0D22"/>
    <w:rsid w:val="002F0F1F"/>
    <w:rsid w:val="002F76C6"/>
    <w:rsid w:val="00301261"/>
    <w:rsid w:val="0030263B"/>
    <w:rsid w:val="00303270"/>
    <w:rsid w:val="00305587"/>
    <w:rsid w:val="00310CB1"/>
    <w:rsid w:val="00313DD7"/>
    <w:rsid w:val="0031501E"/>
    <w:rsid w:val="00315268"/>
    <w:rsid w:val="00316EF8"/>
    <w:rsid w:val="003172DC"/>
    <w:rsid w:val="0031746F"/>
    <w:rsid w:val="00317A9A"/>
    <w:rsid w:val="003205B7"/>
    <w:rsid w:val="003228AD"/>
    <w:rsid w:val="00323BAA"/>
    <w:rsid w:val="00325AE3"/>
    <w:rsid w:val="00325EA1"/>
    <w:rsid w:val="00326069"/>
    <w:rsid w:val="00327D0A"/>
    <w:rsid w:val="00327E2F"/>
    <w:rsid w:val="00330A0B"/>
    <w:rsid w:val="00330F24"/>
    <w:rsid w:val="003317EE"/>
    <w:rsid w:val="00333042"/>
    <w:rsid w:val="0033484D"/>
    <w:rsid w:val="00337B7D"/>
    <w:rsid w:val="00337D9B"/>
    <w:rsid w:val="003415AC"/>
    <w:rsid w:val="003442E6"/>
    <w:rsid w:val="0035462D"/>
    <w:rsid w:val="00354FBE"/>
    <w:rsid w:val="00356164"/>
    <w:rsid w:val="00360111"/>
    <w:rsid w:val="00362878"/>
    <w:rsid w:val="00364B41"/>
    <w:rsid w:val="00365B80"/>
    <w:rsid w:val="00366D4E"/>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126"/>
    <w:rsid w:val="003E7387"/>
    <w:rsid w:val="003F0E70"/>
    <w:rsid w:val="003F1057"/>
    <w:rsid w:val="003F1216"/>
    <w:rsid w:val="003F1BBC"/>
    <w:rsid w:val="003F2619"/>
    <w:rsid w:val="003F42D4"/>
    <w:rsid w:val="003F4BA3"/>
    <w:rsid w:val="003F4E28"/>
    <w:rsid w:val="004006E8"/>
    <w:rsid w:val="0040178C"/>
    <w:rsid w:val="00401855"/>
    <w:rsid w:val="004020FF"/>
    <w:rsid w:val="00404C86"/>
    <w:rsid w:val="00405E79"/>
    <w:rsid w:val="00407274"/>
    <w:rsid w:val="00407C8F"/>
    <w:rsid w:val="00407F5D"/>
    <w:rsid w:val="00410BCA"/>
    <w:rsid w:val="00411D61"/>
    <w:rsid w:val="00415A22"/>
    <w:rsid w:val="004168A3"/>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40BE"/>
    <w:rsid w:val="0047699B"/>
    <w:rsid w:val="00477455"/>
    <w:rsid w:val="00480095"/>
    <w:rsid w:val="00480696"/>
    <w:rsid w:val="00482723"/>
    <w:rsid w:val="00482850"/>
    <w:rsid w:val="00483FA8"/>
    <w:rsid w:val="00484B62"/>
    <w:rsid w:val="00492FB7"/>
    <w:rsid w:val="00494CF6"/>
    <w:rsid w:val="004950FB"/>
    <w:rsid w:val="00495BB9"/>
    <w:rsid w:val="0049618F"/>
    <w:rsid w:val="00496370"/>
    <w:rsid w:val="0049640E"/>
    <w:rsid w:val="004A03B2"/>
    <w:rsid w:val="004A1F7B"/>
    <w:rsid w:val="004A4C5A"/>
    <w:rsid w:val="004A79B9"/>
    <w:rsid w:val="004A7BDD"/>
    <w:rsid w:val="004B0BB3"/>
    <w:rsid w:val="004B0ED2"/>
    <w:rsid w:val="004B23DF"/>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E6D5B"/>
    <w:rsid w:val="004F65E3"/>
    <w:rsid w:val="00503171"/>
    <w:rsid w:val="00503262"/>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7CAD"/>
    <w:rsid w:val="00541B53"/>
    <w:rsid w:val="00541BC2"/>
    <w:rsid w:val="00543E6C"/>
    <w:rsid w:val="00545BD9"/>
    <w:rsid w:val="005478F4"/>
    <w:rsid w:val="005502AE"/>
    <w:rsid w:val="005528B4"/>
    <w:rsid w:val="00552D69"/>
    <w:rsid w:val="00560B74"/>
    <w:rsid w:val="005631C2"/>
    <w:rsid w:val="00563AEF"/>
    <w:rsid w:val="00563C92"/>
    <w:rsid w:val="00564C86"/>
    <w:rsid w:val="00565087"/>
    <w:rsid w:val="0056573F"/>
    <w:rsid w:val="0056638C"/>
    <w:rsid w:val="00570533"/>
    <w:rsid w:val="00570FDE"/>
    <w:rsid w:val="00571A91"/>
    <w:rsid w:val="00572F1C"/>
    <w:rsid w:val="00575F7E"/>
    <w:rsid w:val="0058077C"/>
    <w:rsid w:val="00580A65"/>
    <w:rsid w:val="005841A9"/>
    <w:rsid w:val="0059143D"/>
    <w:rsid w:val="00594520"/>
    <w:rsid w:val="005A05E7"/>
    <w:rsid w:val="005A2265"/>
    <w:rsid w:val="005A2E40"/>
    <w:rsid w:val="005A4716"/>
    <w:rsid w:val="005A53BA"/>
    <w:rsid w:val="005A54C6"/>
    <w:rsid w:val="005A5625"/>
    <w:rsid w:val="005A6847"/>
    <w:rsid w:val="005A7CDD"/>
    <w:rsid w:val="005B073D"/>
    <w:rsid w:val="005B097D"/>
    <w:rsid w:val="005B3FB8"/>
    <w:rsid w:val="005B6FC5"/>
    <w:rsid w:val="005C4A8C"/>
    <w:rsid w:val="005C630A"/>
    <w:rsid w:val="005C6847"/>
    <w:rsid w:val="005C798E"/>
    <w:rsid w:val="005D0DD0"/>
    <w:rsid w:val="005D36A1"/>
    <w:rsid w:val="005D7306"/>
    <w:rsid w:val="005E2FF7"/>
    <w:rsid w:val="005E43F5"/>
    <w:rsid w:val="005F0819"/>
    <w:rsid w:val="005F0BBB"/>
    <w:rsid w:val="005F127F"/>
    <w:rsid w:val="005F1CFA"/>
    <w:rsid w:val="005F367F"/>
    <w:rsid w:val="005F3B2A"/>
    <w:rsid w:val="005F48D4"/>
    <w:rsid w:val="00601032"/>
    <w:rsid w:val="00603263"/>
    <w:rsid w:val="00604CCC"/>
    <w:rsid w:val="006050C8"/>
    <w:rsid w:val="00606696"/>
    <w:rsid w:val="0060683E"/>
    <w:rsid w:val="00607FA2"/>
    <w:rsid w:val="00611566"/>
    <w:rsid w:val="00612941"/>
    <w:rsid w:val="00614FCF"/>
    <w:rsid w:val="006150A0"/>
    <w:rsid w:val="00617FD3"/>
    <w:rsid w:val="00622729"/>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1C78"/>
    <w:rsid w:val="006649EC"/>
    <w:rsid w:val="00664FEB"/>
    <w:rsid w:val="006717A0"/>
    <w:rsid w:val="006728CE"/>
    <w:rsid w:val="0067501B"/>
    <w:rsid w:val="0067518E"/>
    <w:rsid w:val="00675568"/>
    <w:rsid w:val="00680135"/>
    <w:rsid w:val="00680537"/>
    <w:rsid w:val="00680CE3"/>
    <w:rsid w:val="00682EBD"/>
    <w:rsid w:val="006831CA"/>
    <w:rsid w:val="006877B6"/>
    <w:rsid w:val="00687B05"/>
    <w:rsid w:val="0069055A"/>
    <w:rsid w:val="00695449"/>
    <w:rsid w:val="006977EE"/>
    <w:rsid w:val="006A3AAC"/>
    <w:rsid w:val="006A5282"/>
    <w:rsid w:val="006A56A0"/>
    <w:rsid w:val="006A7A2A"/>
    <w:rsid w:val="006B04A5"/>
    <w:rsid w:val="006B3F85"/>
    <w:rsid w:val="006B4477"/>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3E38"/>
    <w:rsid w:val="006E6B13"/>
    <w:rsid w:val="006E7695"/>
    <w:rsid w:val="006E7D23"/>
    <w:rsid w:val="006F6A2C"/>
    <w:rsid w:val="006F72B2"/>
    <w:rsid w:val="0070279A"/>
    <w:rsid w:val="00702DBC"/>
    <w:rsid w:val="00703EDA"/>
    <w:rsid w:val="00710201"/>
    <w:rsid w:val="0071205A"/>
    <w:rsid w:val="007121F0"/>
    <w:rsid w:val="00713939"/>
    <w:rsid w:val="007145B2"/>
    <w:rsid w:val="0071730A"/>
    <w:rsid w:val="00720022"/>
    <w:rsid w:val="00720DC1"/>
    <w:rsid w:val="0072120A"/>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153"/>
    <w:rsid w:val="00793749"/>
    <w:rsid w:val="00793DC5"/>
    <w:rsid w:val="007A0D32"/>
    <w:rsid w:val="007A4044"/>
    <w:rsid w:val="007A76B3"/>
    <w:rsid w:val="007A773E"/>
    <w:rsid w:val="007A7C64"/>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642"/>
    <w:rsid w:val="007D5A3A"/>
    <w:rsid w:val="007D64A6"/>
    <w:rsid w:val="007D7806"/>
    <w:rsid w:val="007E0477"/>
    <w:rsid w:val="007E3E29"/>
    <w:rsid w:val="007E7057"/>
    <w:rsid w:val="007F6CB6"/>
    <w:rsid w:val="007F6FF4"/>
    <w:rsid w:val="00800AD4"/>
    <w:rsid w:val="00800D2C"/>
    <w:rsid w:val="0080219B"/>
    <w:rsid w:val="008028A4"/>
    <w:rsid w:val="00803E28"/>
    <w:rsid w:val="008050E0"/>
    <w:rsid w:val="00806655"/>
    <w:rsid w:val="00806BCC"/>
    <w:rsid w:val="00807D12"/>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5C2F"/>
    <w:rsid w:val="00846FAE"/>
    <w:rsid w:val="00847201"/>
    <w:rsid w:val="00847B03"/>
    <w:rsid w:val="008500F9"/>
    <w:rsid w:val="008503D8"/>
    <w:rsid w:val="00855B5A"/>
    <w:rsid w:val="00860877"/>
    <w:rsid w:val="008641C2"/>
    <w:rsid w:val="00864918"/>
    <w:rsid w:val="00866045"/>
    <w:rsid w:val="00866FFE"/>
    <w:rsid w:val="008700FE"/>
    <w:rsid w:val="0087189E"/>
    <w:rsid w:val="00872041"/>
    <w:rsid w:val="00872230"/>
    <w:rsid w:val="0087228D"/>
    <w:rsid w:val="00872E2A"/>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97B95"/>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D4"/>
    <w:rsid w:val="008E4BC7"/>
    <w:rsid w:val="008E4E9B"/>
    <w:rsid w:val="008E5FC6"/>
    <w:rsid w:val="008F0B1B"/>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EA9"/>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4D06"/>
    <w:rsid w:val="0096596E"/>
    <w:rsid w:val="00966691"/>
    <w:rsid w:val="00966DEB"/>
    <w:rsid w:val="00966E30"/>
    <w:rsid w:val="0096725D"/>
    <w:rsid w:val="00970597"/>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675D"/>
    <w:rsid w:val="009E739C"/>
    <w:rsid w:val="009F18B0"/>
    <w:rsid w:val="009F2D07"/>
    <w:rsid w:val="009F3A04"/>
    <w:rsid w:val="009F6779"/>
    <w:rsid w:val="00A0318F"/>
    <w:rsid w:val="00A0536F"/>
    <w:rsid w:val="00A06FA7"/>
    <w:rsid w:val="00A10F02"/>
    <w:rsid w:val="00A1115F"/>
    <w:rsid w:val="00A12D6A"/>
    <w:rsid w:val="00A146C9"/>
    <w:rsid w:val="00A151EB"/>
    <w:rsid w:val="00A17EC6"/>
    <w:rsid w:val="00A204CA"/>
    <w:rsid w:val="00A22D35"/>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0AC4"/>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1A02"/>
    <w:rsid w:val="00AA3612"/>
    <w:rsid w:val="00AA3F6E"/>
    <w:rsid w:val="00AA6373"/>
    <w:rsid w:val="00AA65FF"/>
    <w:rsid w:val="00AA697F"/>
    <w:rsid w:val="00AB4710"/>
    <w:rsid w:val="00AB47F6"/>
    <w:rsid w:val="00AB7714"/>
    <w:rsid w:val="00AC3917"/>
    <w:rsid w:val="00AC5906"/>
    <w:rsid w:val="00AD4AF4"/>
    <w:rsid w:val="00AD4F6D"/>
    <w:rsid w:val="00AD5F89"/>
    <w:rsid w:val="00AD793D"/>
    <w:rsid w:val="00AE0BAC"/>
    <w:rsid w:val="00AE15CA"/>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5EA6"/>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510"/>
    <w:rsid w:val="00B44DD2"/>
    <w:rsid w:val="00B4646F"/>
    <w:rsid w:val="00B4753E"/>
    <w:rsid w:val="00B479B0"/>
    <w:rsid w:val="00B47FD1"/>
    <w:rsid w:val="00B516BB"/>
    <w:rsid w:val="00B5206C"/>
    <w:rsid w:val="00B53B0B"/>
    <w:rsid w:val="00B54FCB"/>
    <w:rsid w:val="00B56085"/>
    <w:rsid w:val="00B568FD"/>
    <w:rsid w:val="00B5736A"/>
    <w:rsid w:val="00B6026F"/>
    <w:rsid w:val="00B64CAD"/>
    <w:rsid w:val="00B706CD"/>
    <w:rsid w:val="00B72F69"/>
    <w:rsid w:val="00B76AB1"/>
    <w:rsid w:val="00B76E87"/>
    <w:rsid w:val="00B81C73"/>
    <w:rsid w:val="00B840DA"/>
    <w:rsid w:val="00B90649"/>
    <w:rsid w:val="00B90EE6"/>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39DB"/>
    <w:rsid w:val="00C04CD9"/>
    <w:rsid w:val="00C05B5E"/>
    <w:rsid w:val="00C10D08"/>
    <w:rsid w:val="00C10D49"/>
    <w:rsid w:val="00C12B51"/>
    <w:rsid w:val="00C132A5"/>
    <w:rsid w:val="00C1497E"/>
    <w:rsid w:val="00C2087D"/>
    <w:rsid w:val="00C21770"/>
    <w:rsid w:val="00C24392"/>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154"/>
    <w:rsid w:val="00C665D8"/>
    <w:rsid w:val="00C709B6"/>
    <w:rsid w:val="00C71BAC"/>
    <w:rsid w:val="00C7345E"/>
    <w:rsid w:val="00C73605"/>
    <w:rsid w:val="00C73CFF"/>
    <w:rsid w:val="00C74537"/>
    <w:rsid w:val="00C771D4"/>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754"/>
    <w:rsid w:val="00CC3DDA"/>
    <w:rsid w:val="00CD00FE"/>
    <w:rsid w:val="00CD117E"/>
    <w:rsid w:val="00CD12AD"/>
    <w:rsid w:val="00CD2B84"/>
    <w:rsid w:val="00CD4C7B"/>
    <w:rsid w:val="00CD5795"/>
    <w:rsid w:val="00CD6E01"/>
    <w:rsid w:val="00CD7707"/>
    <w:rsid w:val="00CE1681"/>
    <w:rsid w:val="00CE172A"/>
    <w:rsid w:val="00CE29EF"/>
    <w:rsid w:val="00CE2CEE"/>
    <w:rsid w:val="00CE3230"/>
    <w:rsid w:val="00CE5AFB"/>
    <w:rsid w:val="00CE5D7F"/>
    <w:rsid w:val="00CE6889"/>
    <w:rsid w:val="00CE75DF"/>
    <w:rsid w:val="00CE7ABA"/>
    <w:rsid w:val="00CF1AC7"/>
    <w:rsid w:val="00CF3640"/>
    <w:rsid w:val="00CF5094"/>
    <w:rsid w:val="00CF58F6"/>
    <w:rsid w:val="00D040BB"/>
    <w:rsid w:val="00D05935"/>
    <w:rsid w:val="00D06870"/>
    <w:rsid w:val="00D10707"/>
    <w:rsid w:val="00D10B5E"/>
    <w:rsid w:val="00D1188D"/>
    <w:rsid w:val="00D145BC"/>
    <w:rsid w:val="00D1632C"/>
    <w:rsid w:val="00D17979"/>
    <w:rsid w:val="00D217EC"/>
    <w:rsid w:val="00D21957"/>
    <w:rsid w:val="00D24D6A"/>
    <w:rsid w:val="00D2617D"/>
    <w:rsid w:val="00D26182"/>
    <w:rsid w:val="00D2727F"/>
    <w:rsid w:val="00D3050D"/>
    <w:rsid w:val="00D31234"/>
    <w:rsid w:val="00D31C30"/>
    <w:rsid w:val="00D32476"/>
    <w:rsid w:val="00D3377B"/>
    <w:rsid w:val="00D33BE3"/>
    <w:rsid w:val="00D36096"/>
    <w:rsid w:val="00D376A1"/>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739F9"/>
    <w:rsid w:val="00D75482"/>
    <w:rsid w:val="00D80514"/>
    <w:rsid w:val="00D80795"/>
    <w:rsid w:val="00D829A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3484"/>
    <w:rsid w:val="00E64DDE"/>
    <w:rsid w:val="00E70886"/>
    <w:rsid w:val="00E74E9C"/>
    <w:rsid w:val="00E75D9F"/>
    <w:rsid w:val="00E77645"/>
    <w:rsid w:val="00E7764A"/>
    <w:rsid w:val="00E818D8"/>
    <w:rsid w:val="00E81926"/>
    <w:rsid w:val="00E82E1E"/>
    <w:rsid w:val="00E83697"/>
    <w:rsid w:val="00E83E6A"/>
    <w:rsid w:val="00E8774F"/>
    <w:rsid w:val="00E94AE6"/>
    <w:rsid w:val="00E97623"/>
    <w:rsid w:val="00EA1721"/>
    <w:rsid w:val="00EA1FA4"/>
    <w:rsid w:val="00EA3AB0"/>
    <w:rsid w:val="00EA3AD9"/>
    <w:rsid w:val="00EA58F7"/>
    <w:rsid w:val="00EA65CB"/>
    <w:rsid w:val="00EB0AF6"/>
    <w:rsid w:val="00EB152D"/>
    <w:rsid w:val="00EB4383"/>
    <w:rsid w:val="00EB4DD7"/>
    <w:rsid w:val="00EB79A0"/>
    <w:rsid w:val="00EC023D"/>
    <w:rsid w:val="00EC0E8B"/>
    <w:rsid w:val="00EC14C7"/>
    <w:rsid w:val="00EC1527"/>
    <w:rsid w:val="00EC2B71"/>
    <w:rsid w:val="00EC3277"/>
    <w:rsid w:val="00EC404A"/>
    <w:rsid w:val="00EC4A25"/>
    <w:rsid w:val="00EC7720"/>
    <w:rsid w:val="00ED0B3D"/>
    <w:rsid w:val="00ED1E19"/>
    <w:rsid w:val="00ED2561"/>
    <w:rsid w:val="00ED288D"/>
    <w:rsid w:val="00ED44C6"/>
    <w:rsid w:val="00ED45BC"/>
    <w:rsid w:val="00ED602D"/>
    <w:rsid w:val="00ED6037"/>
    <w:rsid w:val="00EE0160"/>
    <w:rsid w:val="00EE23EB"/>
    <w:rsid w:val="00EE5772"/>
    <w:rsid w:val="00EE5CDC"/>
    <w:rsid w:val="00EE5F4E"/>
    <w:rsid w:val="00EF2481"/>
    <w:rsid w:val="00EF31F5"/>
    <w:rsid w:val="00EF5F7E"/>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a"/>
    <w:next w:val="Doc-text2"/>
    <w:uiPriority w:val="99"/>
    <w:qFormat/>
    <w:rsid w:val="00D376A1"/>
    <w:pPr>
      <w:numPr>
        <w:numId w:val="20"/>
      </w:numPr>
      <w:tabs>
        <w:tab w:val="num" w:pos="1619"/>
      </w:tabs>
      <w:overflowPunct/>
      <w:autoSpaceDE/>
      <w:autoSpaceDN/>
      <w:adjustRightInd/>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A090DE8-E707-4B3E-A2FD-FC382B423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332</TotalTime>
  <Pages>2</Pages>
  <Words>586</Words>
  <Characters>3342</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3921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Sangkyu Baek2</cp:lastModifiedBy>
  <cp:revision>107</cp:revision>
  <dcterms:created xsi:type="dcterms:W3CDTF">2020-10-22T17:45:00Z</dcterms:created>
  <dcterms:modified xsi:type="dcterms:W3CDTF">2021-10-22T06:15:00Z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